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ind w:firstLine="480" w:firstLineChars="200"/>
        <w:rPr>
          <w:rFonts w:ascii="Arial" w:hAnsi="Arial" w:eastAsia="宋体" w:cs="Arial"/>
          <w:color w:val="333333"/>
          <w:szCs w:val="21"/>
        </w:rPr>
      </w:pPr>
      <w:r>
        <w:rPr>
          <w:rFonts w:hint="eastAsia" w:ascii="宋体" w:hAnsi="宋体" w:eastAsia="宋体" w:cs="Arial"/>
          <w:color w:val="333333"/>
        </w:rPr>
        <w:t>为深入贯彻习近平生态文明思想、践行绿色发展理念，以源头防治、节约资源、节能降耗、减污降碳、提质增效为目标，结合公司的发展需要，现全面启动清洁生产审核工作。</w:t>
      </w:r>
    </w:p>
    <w:p>
      <w:pPr>
        <w:pStyle w:val="3"/>
        <w:kinsoku w:val="0"/>
        <w:overflowPunct w:val="0"/>
        <w:spacing w:before="68"/>
        <w:ind w:left="82" w:firstLine="480" w:firstLineChars="200"/>
      </w:pPr>
      <w:r>
        <w:rPr>
          <w:rFonts w:hint="eastAsia" w:ascii="宋体" w:hAnsi="宋体" w:eastAsia="宋体" w:cs="Arial"/>
          <w:color w:val="333333"/>
          <w:sz w:val="24"/>
          <w:szCs w:val="24"/>
        </w:rPr>
        <w:t>根据《中华人民共和国清洁生产促进法》、《清洁生产审核办法》（发改委、环保部第38号令）等文件要求，现公示我公司相关信息。</w:t>
      </w:r>
    </w:p>
    <w:p>
      <w:pPr>
        <w:kinsoku w:val="0"/>
        <w:overflowPunct w:val="0"/>
        <w:spacing w:before="2" w:line="180" w:lineRule="exact"/>
        <w:rPr>
          <w:sz w:val="18"/>
          <w:szCs w:val="18"/>
        </w:rPr>
      </w:pPr>
    </w:p>
    <w:tbl>
      <w:tblPr>
        <w:tblStyle w:val="7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008"/>
        <w:gridCol w:w="1999"/>
        <w:gridCol w:w="3544"/>
        <w:gridCol w:w="2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16" w:type="dxa"/>
            <w:gridSpan w:val="2"/>
            <w:vAlign w:val="center"/>
          </w:tcPr>
          <w:p>
            <w:pPr>
              <w:pStyle w:val="11"/>
              <w:kinsoku w:val="0"/>
              <w:overflowPunct w:val="0"/>
              <w:spacing w:before="79"/>
              <w:jc w:val="center"/>
            </w:pPr>
            <w:r>
              <w:t>企</w:t>
            </w:r>
            <w:r>
              <w:rPr>
                <w:spacing w:val="-1"/>
              </w:rPr>
              <w:t>业</w:t>
            </w:r>
            <w:r>
              <w:rPr>
                <w:spacing w:val="-3"/>
              </w:rPr>
              <w:t>名称</w:t>
            </w:r>
          </w:p>
        </w:tc>
        <w:tc>
          <w:tcPr>
            <w:tcW w:w="7627" w:type="dxa"/>
            <w:gridSpan w:val="3"/>
            <w:vAlign w:val="center"/>
          </w:tcPr>
          <w:p>
            <w:pPr>
              <w:jc w:val="center"/>
              <w:rPr>
                <w:rFonts w:hint="default" w:ascii="仿宋" w:hAnsi="Times New Roman" w:cs="仿宋" w:eastAsiaTheme="minorEastAsia"/>
                <w:spacing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cs="仿宋" w:eastAsiaTheme="minorEastAsia"/>
                <w:spacing w:val="2"/>
                <w:sz w:val="24"/>
                <w:szCs w:val="24"/>
                <w:lang w:val="en-US" w:eastAsia="zh-CN" w:bidi="ar-SA"/>
              </w:rPr>
              <w:t>丽智电子（南通）有限公司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16" w:type="dxa"/>
            <w:gridSpan w:val="2"/>
            <w:vAlign w:val="center"/>
          </w:tcPr>
          <w:p>
            <w:pPr>
              <w:pStyle w:val="11"/>
              <w:kinsoku w:val="0"/>
              <w:overflowPunct w:val="0"/>
              <w:spacing w:before="81"/>
              <w:jc w:val="center"/>
            </w:pPr>
            <w:r>
              <w:rPr>
                <w:rFonts w:ascii="Arial" w:hAnsi="Arial" w:cs="Arial"/>
                <w:color w:val="565862"/>
              </w:rPr>
              <w:t>法人代表</w:t>
            </w:r>
          </w:p>
        </w:tc>
        <w:tc>
          <w:tcPr>
            <w:tcW w:w="7627" w:type="dxa"/>
            <w:gridSpan w:val="3"/>
            <w:vAlign w:val="center"/>
          </w:tcPr>
          <w:p>
            <w:pPr>
              <w:pStyle w:val="11"/>
              <w:kinsoku w:val="0"/>
              <w:overflowPunct w:val="0"/>
              <w:spacing w:before="81"/>
              <w:ind w:left="2"/>
              <w:jc w:val="center"/>
              <w:rPr>
                <w:rFonts w:hint="default" w:ascii="仿宋" w:hAnsi="Times New Roman" w:cs="仿宋" w:eastAsiaTheme="minorEastAsia"/>
                <w:spacing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cs="仿宋" w:eastAsiaTheme="minorEastAsia"/>
                <w:spacing w:val="2"/>
                <w:sz w:val="24"/>
                <w:szCs w:val="24"/>
                <w:lang w:val="en-US" w:eastAsia="zh-CN" w:bidi="ar-SA"/>
              </w:rPr>
              <w:t>蔡添源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16" w:type="dxa"/>
            <w:gridSpan w:val="2"/>
            <w:vAlign w:val="center"/>
          </w:tcPr>
          <w:p>
            <w:pPr>
              <w:pStyle w:val="11"/>
              <w:kinsoku w:val="0"/>
              <w:overflowPunct w:val="0"/>
              <w:jc w:val="center"/>
            </w:pPr>
            <w:r>
              <w:rPr>
                <w:rFonts w:hint="eastAsia" w:ascii="Arial" w:hAnsi="Arial" w:cs="Arial"/>
                <w:color w:val="565862"/>
              </w:rPr>
              <w:t>企业</w:t>
            </w:r>
            <w:r>
              <w:rPr>
                <w:rFonts w:ascii="Arial" w:hAnsi="Arial" w:cs="Arial"/>
                <w:color w:val="565862"/>
              </w:rPr>
              <w:t>所在地址</w:t>
            </w:r>
          </w:p>
        </w:tc>
        <w:tc>
          <w:tcPr>
            <w:tcW w:w="7627" w:type="dxa"/>
            <w:gridSpan w:val="3"/>
            <w:vAlign w:val="center"/>
          </w:tcPr>
          <w:p>
            <w:pPr>
              <w:jc w:val="center"/>
              <w:rPr>
                <w:rFonts w:hint="eastAsia" w:ascii="仿宋" w:hAnsi="Times New Roman" w:cs="仿宋"/>
                <w:spacing w:val="2"/>
                <w:lang w:val="en-US" w:eastAsia="zh-CN"/>
              </w:rPr>
            </w:pPr>
            <w:r>
              <w:rPr>
                <w:rFonts w:hint="default" w:ascii="仿宋" w:hAnsi="Times New Roman" w:cs="仿宋"/>
                <w:spacing w:val="2"/>
                <w:lang w:val="en-US" w:eastAsia="zh-CN"/>
              </w:rPr>
              <w:t>南通高新技术产业开发区</w:t>
            </w:r>
            <w:r>
              <w:rPr>
                <w:rFonts w:hint="eastAsia" w:ascii="仿宋" w:hAnsi="Times New Roman" w:cs="仿宋"/>
                <w:spacing w:val="2"/>
                <w:lang w:val="en-US" w:eastAsia="zh-CN"/>
              </w:rPr>
              <w:t>康富路789号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1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使用有毒有害</w:t>
            </w:r>
            <w:r>
              <w:rPr>
                <w:rFonts w:hint="eastAsia"/>
              </w:rPr>
              <w:t>原料</w:t>
            </w:r>
          </w:p>
          <w:p>
            <w:pPr>
              <w:jc w:val="center"/>
            </w:pPr>
            <w:r>
              <w:t>的情况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084" w:type="dxa"/>
            <w:vAlign w:val="center"/>
          </w:tcPr>
          <w:p>
            <w:pPr>
              <w:pStyle w:val="11"/>
              <w:kinsoku w:val="0"/>
              <w:overflowPunct w:val="0"/>
              <w:spacing w:before="81"/>
              <w:jc w:val="center"/>
            </w:pPr>
            <w:r>
              <w:rPr>
                <w:rFonts w:hint="eastAsia" w:ascii="宋体" w:hAnsi="宋体"/>
                <w:szCs w:val="21"/>
              </w:rPr>
              <w:t>贮存及用途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原辅料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导体膏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</w:rPr>
              <w:t>阻体膏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</w:rPr>
              <w:t>玻璃膏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</w:rPr>
              <w:t>甲基磺酸锡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贮存于原料库，用于产品生产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color w:val="565862"/>
              </w:rPr>
              <w:t>排放有毒有害物质</w:t>
            </w:r>
            <w:r>
              <w:t>的情况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废气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084" w:type="dxa"/>
            <w:vAlign w:val="center"/>
          </w:tcPr>
          <w:p>
            <w:pPr>
              <w:pStyle w:val="11"/>
              <w:kinsoku w:val="0"/>
              <w:overflowPunct w:val="0"/>
              <w:spacing w:line="261" w:lineRule="exact"/>
              <w:jc w:val="center"/>
            </w:pPr>
            <w:r>
              <w:t>排放量</w:t>
            </w:r>
            <w:r>
              <w:rPr>
                <w:rFonts w:hint="eastAsia"/>
              </w:rPr>
              <w:t>t（纳入总量许可项）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NMHC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2.743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硫酸雾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硼酸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restart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  <w:r>
              <w:rPr>
                <w:rFonts w:hint="eastAsia"/>
                <w:lang w:val="en-US" w:eastAsia="zh-CN"/>
              </w:rPr>
              <w:t>生产</w:t>
            </w:r>
            <w:r>
              <w:rPr>
                <w:rFonts w:hint="eastAsia"/>
              </w:rPr>
              <w:t>废水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排放量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t（纳入总量许可项）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废水量m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/a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328653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COD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45.175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SS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19.082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氨氮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总磷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0.544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总氮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2.632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总铜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总镍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总锡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总铬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0.000012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生活废水</w:t>
            </w: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废水量m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/a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氨氮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总氮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总磷</w:t>
            </w:r>
          </w:p>
        </w:tc>
        <w:tc>
          <w:tcPr>
            <w:tcW w:w="2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pStyle w:val="11"/>
              <w:kinsoku w:val="0"/>
              <w:overflowPunct w:val="0"/>
              <w:spacing w:line="219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动植物油</w:t>
            </w:r>
          </w:p>
        </w:tc>
        <w:tc>
          <w:tcPr>
            <w:tcW w:w="20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1" w:lineRule="auto"/>
              <w:jc w:val="center"/>
              <w:rPr>
                <w:spacing w:val="16"/>
              </w:rPr>
            </w:pPr>
            <w:r>
              <w:rPr>
                <w:spacing w:val="16"/>
              </w:rPr>
              <w:t>危险</w:t>
            </w:r>
            <w:r>
              <w:rPr>
                <w:spacing w:val="14"/>
              </w:rPr>
              <w:t>废</w:t>
            </w:r>
            <w:r>
              <w:rPr>
                <w:spacing w:val="16"/>
              </w:rPr>
              <w:t>物</w:t>
            </w:r>
            <w:r>
              <w:rPr>
                <w:spacing w:val="14"/>
              </w:rPr>
              <w:t>产</w:t>
            </w:r>
            <w:r>
              <w:rPr>
                <w:spacing w:val="17"/>
              </w:rPr>
              <w:t>生</w:t>
            </w:r>
            <w:r>
              <w:rPr>
                <w:spacing w:val="14"/>
              </w:rPr>
              <w:t>及</w:t>
            </w:r>
            <w:r>
              <w:t>处理处</w:t>
            </w:r>
            <w:r>
              <w:rPr>
                <w:spacing w:val="-3"/>
              </w:rPr>
              <w:t>置</w:t>
            </w:r>
            <w:r>
              <w:t>情</w:t>
            </w:r>
            <w:r>
              <w:rPr>
                <w:spacing w:val="-3"/>
              </w:rPr>
              <w:t>况</w:t>
            </w:r>
          </w:p>
        </w:tc>
        <w:tc>
          <w:tcPr>
            <w:tcW w:w="5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危废名称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处置方式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1" w:lineRule="auto"/>
              <w:jc w:val="center"/>
              <w:rPr>
                <w:spacing w:val="16"/>
              </w:rPr>
            </w:pPr>
          </w:p>
        </w:tc>
        <w:tc>
          <w:tcPr>
            <w:tcW w:w="5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生活垃圾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委托环卫清运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1" w:lineRule="auto"/>
              <w:jc w:val="center"/>
              <w:rPr>
                <w:spacing w:val="16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次品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废镍铬合金板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废钢珠废砂纸、废黑胶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废包装材料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废蓝膜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废金属线头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废UV胶带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废金刚砂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一般固废委托处置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1" w:lineRule="auto"/>
              <w:jc w:val="center"/>
              <w:rPr>
                <w:spacing w:val="16"/>
              </w:rPr>
            </w:pPr>
          </w:p>
        </w:tc>
        <w:tc>
          <w:tcPr>
            <w:tcW w:w="55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废水处理废活性炭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废包装桶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废油墨罐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含铜废滤芯滤渣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含镍废滤芯滤渣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含锡废滤芯滤渣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废指套、废擦拭纸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废有机溶剂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废气处理废活性炭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废树脂（含水率10%）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含铜废水处理污泥（含水率60%）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含镍废水处理污泥（含水率60%）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废RO膜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废石英砂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废基板、废白边（含布袋除尘收集颗粒物）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危险废物委托有资质单位处置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1" w:lineRule="auto"/>
              <w:jc w:val="center"/>
            </w:pPr>
            <w:r>
              <w:rPr>
                <w:spacing w:val="16"/>
              </w:rPr>
              <w:t>依法</w:t>
            </w:r>
            <w:r>
              <w:rPr>
                <w:spacing w:val="14"/>
              </w:rPr>
              <w:t>落</w:t>
            </w:r>
            <w:r>
              <w:rPr>
                <w:spacing w:val="16"/>
              </w:rPr>
              <w:t>实</w:t>
            </w:r>
            <w:r>
              <w:rPr>
                <w:spacing w:val="14"/>
              </w:rPr>
              <w:t>环</w:t>
            </w:r>
            <w:r>
              <w:rPr>
                <w:spacing w:val="16"/>
              </w:rPr>
              <w:t>境</w:t>
            </w:r>
            <w:r>
              <w:rPr>
                <w:spacing w:val="14"/>
              </w:rPr>
              <w:t>风</w:t>
            </w:r>
            <w:r>
              <w:t>险 防控</w:t>
            </w:r>
            <w:r>
              <w:rPr>
                <w:spacing w:val="-3"/>
              </w:rPr>
              <w:t>措</w:t>
            </w:r>
            <w:r>
              <w:t>施</w:t>
            </w:r>
            <w:r>
              <w:rPr>
                <w:spacing w:val="-3"/>
              </w:rPr>
              <w:t>情况</w:t>
            </w:r>
          </w:p>
        </w:tc>
        <w:tc>
          <w:tcPr>
            <w:tcW w:w="7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insoku w:val="0"/>
              <w:overflowPunct w:val="0"/>
              <w:ind w:left="543" w:right="544"/>
              <w:jc w:val="center"/>
            </w:pPr>
            <w:r>
              <w:t>企业实施了环境安全达标建设及危废规范化整治达标活动，应急预案已经备案</w:t>
            </w:r>
          </w:p>
          <w:p>
            <w:pPr>
              <w:pStyle w:val="11"/>
              <w:kinsoku w:val="0"/>
              <w:overflowPunct w:val="0"/>
              <w:ind w:left="543" w:right="544"/>
              <w:jc w:val="center"/>
            </w:pPr>
            <w:r>
              <w:t>1、建立环境保护制度，明确单位负责人和相关人员的责任；</w:t>
            </w:r>
          </w:p>
          <w:p>
            <w:pPr>
              <w:pStyle w:val="11"/>
              <w:kinsoku w:val="0"/>
              <w:overflowPunct w:val="0"/>
              <w:ind w:left="543" w:right="544"/>
              <w:jc w:val="center"/>
            </w:pPr>
            <w:r>
              <w:t>2、按照环保要求进行环境评价和竣工验收程序；</w:t>
            </w:r>
          </w:p>
          <w:p>
            <w:pPr>
              <w:pStyle w:val="11"/>
              <w:kinsoku w:val="0"/>
              <w:overflowPunct w:val="0"/>
              <w:ind w:left="543" w:right="544"/>
              <w:jc w:val="center"/>
            </w:pPr>
            <w:r>
              <w:t>3、已按要求设置危废暂存库，并与有资质单位签订危废转移协定，危废转移台账记录并存档备查。</w:t>
            </w:r>
          </w:p>
        </w:tc>
      </w:tr>
    </w:tbl>
    <w:p>
      <w:pPr>
        <w:jc w:val="right"/>
        <w:rPr>
          <w:rFonts w:eastAsia="宋体"/>
          <w:color w:val="333333"/>
        </w:rPr>
      </w:pPr>
    </w:p>
    <w:p>
      <w:pPr>
        <w:jc w:val="right"/>
        <w:rPr>
          <w:rFonts w:eastAsia="宋体"/>
          <w:color w:val="333333"/>
        </w:rPr>
      </w:pPr>
    </w:p>
    <w:p>
      <w:pPr>
        <w:jc w:val="right"/>
        <w:rPr>
          <w:rFonts w:eastAsia="宋体"/>
          <w:color w:val="333333"/>
        </w:rPr>
      </w:pPr>
    </w:p>
    <w:p>
      <w:pPr>
        <w:jc w:val="right"/>
        <w:rPr>
          <w:rFonts w:hint="eastAsia" w:ascii="仿宋" w:hAnsi="Times New Roman" w:cs="仿宋" w:eastAsiaTheme="minorEastAsia"/>
          <w:spacing w:val="2"/>
          <w:sz w:val="24"/>
          <w:szCs w:val="24"/>
          <w:lang w:val="en-US" w:eastAsia="zh-CN" w:bidi="ar-SA"/>
        </w:rPr>
      </w:pPr>
      <w:r>
        <w:rPr>
          <w:rFonts w:hint="eastAsia" w:ascii="仿宋" w:hAnsi="Times New Roman" w:cs="仿宋" w:eastAsiaTheme="minorEastAsia"/>
          <w:spacing w:val="2"/>
          <w:sz w:val="24"/>
          <w:szCs w:val="24"/>
          <w:lang w:val="en-US" w:eastAsia="zh-CN" w:bidi="ar-SA"/>
        </w:rPr>
        <w:t>丽智电子（南通）有限公司</w:t>
      </w:r>
    </w:p>
    <w:p>
      <w:pPr>
        <w:jc w:val="right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  <w:bookmarkStart w:id="0" w:name="_GoBack"/>
      <w:bookmarkEnd w:id="0"/>
    </w:p>
    <w:sectPr>
      <w:footerReference r:id="rId3" w:type="default"/>
      <w:pgSz w:w="11907" w:h="16840"/>
      <w:pgMar w:top="1420" w:right="1000" w:bottom="1985" w:left="1060" w:header="0" w:footer="11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3710940</wp:posOffset>
              </wp:positionH>
              <wp:positionV relativeFrom="page">
                <wp:posOffset>9799320</wp:posOffset>
              </wp:positionV>
              <wp:extent cx="141605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1"/>
                              <w:sz w:val="18"/>
                              <w:szCs w:val="18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2.2pt;margin-top:771.6pt;height:11pt;width:11.1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H3j62wAAAA0BAAAPAAAAAAAAAAEAIAAAACIAAABkcnMv&#10;ZG93bnJldi54bWxQSwECFAAUAAAACACHTuJAnADDbwACAAARBAAADgAAAAAAAAABACAAAAAq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1"/>
                        <w:sz w:val="18"/>
                        <w:szCs w:val="18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M1ZTllN2IxNDdkNGM0OTYxMTgzOWRmZDY1MjIifQ=="/>
  </w:docVars>
  <w:rsids>
    <w:rsidRoot w:val="00F752BA"/>
    <w:rsid w:val="00041DA2"/>
    <w:rsid w:val="00056D93"/>
    <w:rsid w:val="00067CB2"/>
    <w:rsid w:val="00131474"/>
    <w:rsid w:val="002F5C0D"/>
    <w:rsid w:val="003265C3"/>
    <w:rsid w:val="00342F25"/>
    <w:rsid w:val="00361DF6"/>
    <w:rsid w:val="003B2775"/>
    <w:rsid w:val="00410E84"/>
    <w:rsid w:val="004938B3"/>
    <w:rsid w:val="00505173"/>
    <w:rsid w:val="00525366"/>
    <w:rsid w:val="005361D0"/>
    <w:rsid w:val="005E6816"/>
    <w:rsid w:val="006102A0"/>
    <w:rsid w:val="006F6C2A"/>
    <w:rsid w:val="00785B71"/>
    <w:rsid w:val="007C5A5A"/>
    <w:rsid w:val="007F5DE8"/>
    <w:rsid w:val="00824549"/>
    <w:rsid w:val="0093002F"/>
    <w:rsid w:val="00967851"/>
    <w:rsid w:val="00A000DD"/>
    <w:rsid w:val="00B13873"/>
    <w:rsid w:val="00B23C28"/>
    <w:rsid w:val="00B3329C"/>
    <w:rsid w:val="00B61AA4"/>
    <w:rsid w:val="00BB392C"/>
    <w:rsid w:val="00BE6061"/>
    <w:rsid w:val="00C67C7F"/>
    <w:rsid w:val="00CA1DA6"/>
    <w:rsid w:val="00CB1E09"/>
    <w:rsid w:val="00DC3D2A"/>
    <w:rsid w:val="00DE461A"/>
    <w:rsid w:val="00EE16B5"/>
    <w:rsid w:val="00F20EE0"/>
    <w:rsid w:val="00F3127B"/>
    <w:rsid w:val="00F752BA"/>
    <w:rsid w:val="00FE3216"/>
    <w:rsid w:val="130570AF"/>
    <w:rsid w:val="220D4CEE"/>
    <w:rsid w:val="6A7F0103"/>
    <w:rsid w:val="791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9"/>
    <w:qFormat/>
    <w:uiPriority w:val="1"/>
    <w:pPr>
      <w:ind w:left="529"/>
    </w:pPr>
    <w:rPr>
      <w:rFonts w:ascii="新宋体" w:eastAsia="新宋体" w:cs="新宋体"/>
      <w:sz w:val="28"/>
      <w:szCs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9">
    <w:name w:val="正文文本 字符"/>
    <w:basedOn w:val="8"/>
    <w:link w:val="3"/>
    <w:semiHidden/>
    <w:qFormat/>
    <w:uiPriority w:val="99"/>
    <w:rPr>
      <w:rFonts w:ascii="Times New Roman" w:hAnsi="Times New Roman" w:cs="Times New Roman"/>
      <w:kern w:val="0"/>
      <w:sz w:val="24"/>
      <w:szCs w:val="24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14">
    <w:name w:val="表格"/>
    <w:basedOn w:val="1"/>
    <w:next w:val="1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2023-04-13T05:26:00Z</dcterms:created>
  <dc:creator>ad</dc:creator>
  <cp:lastModifiedBy>WPS_1516843209</cp:lastModifiedBy>
  <cp:lastPrinted>2024-01-09T08:12:34Z</cp:lastPrinted>
  <dcterms:modified xsi:type="dcterms:W3CDTF">2024-01-09T08:13:30Z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2EFC4D83B5774D54828C098B9CBF1553_13</vt:lpwstr>
  </property>
</Properties>
</file>